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2F" w:rsidRDefault="00BE132F" w:rsidP="00BE132F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УВЕДОМЛЕНИЕ О ПРОВЕДЕНИИ ОСМОТРА (ОСМОТРОВ) ОБЪЕКТА (ОБЪЕКТОВ) НЕДВИЖИМОСТИ</w:t>
      </w:r>
    </w:p>
    <w:p w:rsidR="00BE132F" w:rsidRDefault="00BE132F" w:rsidP="00BE132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проводятся мероприятия по выявлению правообладателей ранее учтенных объектов недвижимости, (земельных участков, зданий, сооружений, объектов незавершенного строительства, помещений).                                                                                                                   </w:t>
      </w:r>
    </w:p>
    <w:p w:rsidR="00BE132F" w:rsidRDefault="00BE132F" w:rsidP="00BE132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  Саракташского района Оренбургской области сообщает, что:</w:t>
      </w:r>
    </w:p>
    <w:p w:rsidR="00BE132F" w:rsidRDefault="009441B4" w:rsidP="00BE132F">
      <w:pPr>
        <w:pStyle w:val="NoSpacing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0E7D11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BE13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9794F">
        <w:rPr>
          <w:rFonts w:ascii="Times New Roman" w:hAnsi="Times New Roman"/>
          <w:b/>
          <w:sz w:val="28"/>
          <w:szCs w:val="28"/>
          <w:lang w:eastAsia="ru-RU"/>
        </w:rPr>
        <w:t>августа</w:t>
      </w:r>
      <w:r w:rsidR="00BE132F">
        <w:rPr>
          <w:rFonts w:ascii="Times New Roman" w:hAnsi="Times New Roman"/>
          <w:b/>
          <w:sz w:val="28"/>
          <w:szCs w:val="28"/>
          <w:lang w:eastAsia="ru-RU"/>
        </w:rPr>
        <w:t xml:space="preserve"> 2023 года  в период с 10 час. 00 мин. до 17 час. 00 мин. </w:t>
      </w:r>
    </w:p>
    <w:p w:rsidR="00BE132F" w:rsidRDefault="00BE132F" w:rsidP="00BE132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будет проводиться осмотр в отношении ранее учтенных зданий, сооружений, объектов незавершенного строительства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Ново</w:t>
      </w:r>
      <w:r w:rsidR="0029794F">
        <w:rPr>
          <w:rFonts w:ascii="Times New Roman" w:hAnsi="Times New Roman"/>
          <w:sz w:val="28"/>
          <w:szCs w:val="28"/>
          <w:lang w:eastAsia="ru-RU"/>
        </w:rPr>
        <w:t>сокулакского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Оренбургской области.</w:t>
      </w:r>
    </w:p>
    <w:p w:rsidR="00BE132F" w:rsidRDefault="00BE132F" w:rsidP="00BE132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Осмотр будет осуществляться комиссией по проведению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Ново</w:t>
      </w:r>
      <w:r w:rsidR="0029794F">
        <w:rPr>
          <w:rFonts w:ascii="Times New Roman" w:hAnsi="Times New Roman"/>
          <w:sz w:val="28"/>
          <w:szCs w:val="28"/>
          <w:lang w:eastAsia="ru-RU"/>
        </w:rPr>
        <w:t>сокулакского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Оренбургской области.</w:t>
      </w:r>
    </w:p>
    <w:p w:rsidR="00BE132F" w:rsidRDefault="00BE132F" w:rsidP="00BE132F"/>
    <w:tbl>
      <w:tblPr>
        <w:tblW w:w="99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645"/>
        <w:gridCol w:w="2724"/>
        <w:gridCol w:w="1260"/>
        <w:gridCol w:w="3600"/>
        <w:gridCol w:w="1723"/>
      </w:tblGrid>
      <w:tr w:rsidR="00BE132F" w:rsidRPr="006F20DC" w:rsidTr="000E021B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rPr>
                <w:sz w:val="28"/>
                <w:szCs w:val="28"/>
              </w:rPr>
            </w:pPr>
            <w:r w:rsidRPr="000E021B">
              <w:rPr>
                <w:sz w:val="28"/>
                <w:szCs w:val="28"/>
              </w:rPr>
              <w:t>№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rPr>
                <w:color w:val="000000"/>
                <w:sz w:val="28"/>
                <w:szCs w:val="28"/>
              </w:rPr>
            </w:pPr>
            <w:r w:rsidRPr="000E021B">
              <w:rPr>
                <w:color w:val="000000"/>
                <w:sz w:val="28"/>
                <w:szCs w:val="28"/>
              </w:rPr>
              <w:t xml:space="preserve">Кадастровый номер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rPr>
                <w:sz w:val="28"/>
                <w:szCs w:val="28"/>
              </w:rPr>
            </w:pPr>
            <w:r w:rsidRPr="000E021B">
              <w:rPr>
                <w:sz w:val="28"/>
                <w:szCs w:val="28"/>
              </w:rPr>
              <w:t>Вид об</w:t>
            </w:r>
            <w:r w:rsidR="00050E5C" w:rsidRPr="000E021B">
              <w:rPr>
                <w:sz w:val="28"/>
                <w:szCs w:val="28"/>
              </w:rPr>
              <w:t>ъ</w:t>
            </w:r>
            <w:r w:rsidRPr="000E021B">
              <w:rPr>
                <w:sz w:val="28"/>
                <w:szCs w:val="28"/>
              </w:rPr>
              <w:t xml:space="preserve">екта 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rPr>
                <w:color w:val="000000"/>
                <w:sz w:val="28"/>
                <w:szCs w:val="28"/>
              </w:rPr>
            </w:pPr>
            <w:r w:rsidRPr="000E021B">
              <w:rPr>
                <w:color w:val="000000"/>
                <w:sz w:val="28"/>
                <w:szCs w:val="28"/>
              </w:rPr>
              <w:t xml:space="preserve">Адрес 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rPr>
                <w:sz w:val="28"/>
                <w:szCs w:val="28"/>
              </w:rPr>
            </w:pPr>
            <w:r w:rsidRPr="000E021B">
              <w:rPr>
                <w:sz w:val="28"/>
                <w:szCs w:val="28"/>
              </w:rPr>
              <w:t xml:space="preserve">Наименование </w:t>
            </w:r>
          </w:p>
        </w:tc>
      </w:tr>
      <w:tr w:rsidR="00BE132F" w:rsidRPr="006F20DC" w:rsidTr="000E021B">
        <w:trPr>
          <w:trHeight w:val="1238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rPr>
                <w:sz w:val="28"/>
                <w:szCs w:val="28"/>
              </w:rPr>
            </w:pPr>
            <w:r w:rsidRPr="000E021B">
              <w:rPr>
                <w:sz w:val="28"/>
                <w:szCs w:val="28"/>
              </w:rPr>
              <w:t>1.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3255E2">
            <w:pPr>
              <w:rPr>
                <w:sz w:val="28"/>
                <w:szCs w:val="28"/>
              </w:rPr>
            </w:pPr>
            <w:r w:rsidRPr="000E021B">
              <w:rPr>
                <w:bCs/>
                <w:sz w:val="28"/>
                <w:szCs w:val="28"/>
              </w:rPr>
              <w:t>56:26:1</w:t>
            </w:r>
            <w:r w:rsidR="0029794F">
              <w:rPr>
                <w:bCs/>
                <w:sz w:val="28"/>
                <w:szCs w:val="28"/>
              </w:rPr>
              <w:t>201</w:t>
            </w:r>
            <w:r w:rsidRPr="000E021B">
              <w:rPr>
                <w:bCs/>
                <w:sz w:val="28"/>
                <w:szCs w:val="28"/>
              </w:rPr>
              <w:t>001:</w:t>
            </w:r>
            <w:r w:rsidR="000E7D11">
              <w:rPr>
                <w:bCs/>
                <w:sz w:val="28"/>
                <w:szCs w:val="28"/>
              </w:rPr>
              <w:t>618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rPr>
                <w:sz w:val="28"/>
                <w:szCs w:val="28"/>
              </w:rPr>
            </w:pPr>
          </w:p>
          <w:p w:rsidR="00BE132F" w:rsidRPr="000E021B" w:rsidRDefault="00BE132F" w:rsidP="000E021B">
            <w:pPr>
              <w:rPr>
                <w:sz w:val="28"/>
                <w:szCs w:val="28"/>
              </w:rPr>
            </w:pPr>
          </w:p>
          <w:p w:rsidR="00BE132F" w:rsidRPr="000E021B" w:rsidRDefault="00BE132F" w:rsidP="000E021B">
            <w:pPr>
              <w:rPr>
                <w:sz w:val="28"/>
                <w:szCs w:val="28"/>
              </w:rPr>
            </w:pPr>
            <w:r w:rsidRPr="000E021B"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</w:p>
          <w:p w:rsidR="00BE132F" w:rsidRPr="000E021B" w:rsidRDefault="00BE132F" w:rsidP="000E021B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</w:p>
          <w:p w:rsidR="00BE132F" w:rsidRPr="000E021B" w:rsidRDefault="000E021B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E132F" w:rsidRPr="000E021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BE132F" w:rsidRPr="000E021B">
              <w:rPr>
                <w:sz w:val="28"/>
                <w:szCs w:val="28"/>
              </w:rPr>
              <w:t>Ново</w:t>
            </w:r>
            <w:r w:rsidR="0029794F">
              <w:rPr>
                <w:sz w:val="28"/>
                <w:szCs w:val="28"/>
              </w:rPr>
              <w:t>сокулак</w:t>
            </w:r>
            <w:proofErr w:type="spellEnd"/>
          </w:p>
          <w:p w:rsidR="00BE132F" w:rsidRPr="000E021B" w:rsidRDefault="000E021B" w:rsidP="000E7D1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="0029794F">
              <w:rPr>
                <w:color w:val="000000"/>
                <w:sz w:val="28"/>
                <w:szCs w:val="28"/>
              </w:rPr>
              <w:t>л</w:t>
            </w:r>
            <w:proofErr w:type="gramStart"/>
            <w:r w:rsidR="0029794F">
              <w:rPr>
                <w:color w:val="000000"/>
                <w:sz w:val="28"/>
                <w:szCs w:val="28"/>
              </w:rPr>
              <w:t>.</w:t>
            </w:r>
            <w:r w:rsidR="000E7D11">
              <w:rPr>
                <w:color w:val="000000"/>
                <w:sz w:val="28"/>
                <w:szCs w:val="28"/>
              </w:rPr>
              <w:t>П</w:t>
            </w:r>
            <w:proofErr w:type="gramEnd"/>
            <w:r w:rsidR="000E7D11">
              <w:rPr>
                <w:color w:val="000000"/>
                <w:sz w:val="28"/>
                <w:szCs w:val="28"/>
              </w:rPr>
              <w:t>ономарева</w:t>
            </w:r>
            <w:r w:rsidR="0029794F">
              <w:rPr>
                <w:color w:val="000000"/>
                <w:sz w:val="28"/>
                <w:szCs w:val="28"/>
              </w:rPr>
              <w:t xml:space="preserve"> </w:t>
            </w:r>
            <w:r w:rsidR="00BE132F" w:rsidRPr="000E021B">
              <w:rPr>
                <w:color w:val="000000"/>
                <w:sz w:val="28"/>
                <w:szCs w:val="28"/>
              </w:rPr>
              <w:t>, д</w:t>
            </w:r>
            <w:r w:rsidR="003255E2">
              <w:rPr>
                <w:color w:val="000000"/>
                <w:sz w:val="28"/>
                <w:szCs w:val="28"/>
              </w:rPr>
              <w:t>.</w:t>
            </w:r>
            <w:r w:rsidR="000E7D1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rPr>
                <w:sz w:val="28"/>
                <w:szCs w:val="28"/>
              </w:rPr>
            </w:pPr>
          </w:p>
          <w:p w:rsidR="00BE132F" w:rsidRPr="000E021B" w:rsidRDefault="00BE132F" w:rsidP="000E021B">
            <w:pPr>
              <w:rPr>
                <w:sz w:val="28"/>
                <w:szCs w:val="28"/>
              </w:rPr>
            </w:pPr>
          </w:p>
          <w:p w:rsidR="00BE132F" w:rsidRPr="000E021B" w:rsidRDefault="00BE132F" w:rsidP="0029794F">
            <w:pPr>
              <w:rPr>
                <w:sz w:val="28"/>
                <w:szCs w:val="28"/>
              </w:rPr>
            </w:pPr>
            <w:r w:rsidRPr="000E021B">
              <w:rPr>
                <w:sz w:val="28"/>
                <w:szCs w:val="28"/>
              </w:rPr>
              <w:t xml:space="preserve"> </w:t>
            </w:r>
            <w:r w:rsidR="0029794F">
              <w:rPr>
                <w:sz w:val="28"/>
                <w:szCs w:val="28"/>
              </w:rPr>
              <w:t>гараж</w:t>
            </w:r>
          </w:p>
        </w:tc>
      </w:tr>
      <w:tr w:rsidR="00BE132F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rPr>
                <w:sz w:val="28"/>
                <w:szCs w:val="28"/>
              </w:rPr>
            </w:pPr>
            <w:r w:rsidRPr="000E021B">
              <w:rPr>
                <w:sz w:val="28"/>
                <w:szCs w:val="28"/>
              </w:rPr>
              <w:t>2.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3255E2" w:rsidP="000E021B">
            <w:pPr>
              <w:rPr>
                <w:sz w:val="28"/>
                <w:szCs w:val="28"/>
              </w:rPr>
            </w:pPr>
            <w:r w:rsidRPr="000E021B">
              <w:rPr>
                <w:bCs/>
                <w:sz w:val="28"/>
                <w:szCs w:val="28"/>
              </w:rPr>
              <w:t>56:26:1</w:t>
            </w:r>
            <w:r>
              <w:rPr>
                <w:bCs/>
                <w:sz w:val="28"/>
                <w:szCs w:val="28"/>
              </w:rPr>
              <w:t>201</w:t>
            </w:r>
            <w:r w:rsidRPr="000E021B">
              <w:rPr>
                <w:bCs/>
                <w:sz w:val="28"/>
                <w:szCs w:val="28"/>
              </w:rPr>
              <w:t>001</w:t>
            </w:r>
            <w:r>
              <w:rPr>
                <w:bCs/>
                <w:sz w:val="28"/>
                <w:szCs w:val="28"/>
              </w:rPr>
              <w:t>:</w:t>
            </w:r>
            <w:r w:rsidR="000E7D11">
              <w:rPr>
                <w:bCs/>
                <w:sz w:val="28"/>
                <w:szCs w:val="28"/>
              </w:rPr>
              <w:t>617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rPr>
                <w:sz w:val="28"/>
                <w:szCs w:val="28"/>
              </w:rPr>
            </w:pPr>
          </w:p>
          <w:p w:rsidR="00BE132F" w:rsidRPr="000E021B" w:rsidRDefault="00BE132F" w:rsidP="000E021B">
            <w:pPr>
              <w:rPr>
                <w:sz w:val="28"/>
                <w:szCs w:val="28"/>
              </w:rPr>
            </w:pPr>
          </w:p>
          <w:p w:rsidR="00BE132F" w:rsidRPr="000E021B" w:rsidRDefault="00BE132F" w:rsidP="000E021B">
            <w:pPr>
              <w:rPr>
                <w:sz w:val="28"/>
                <w:szCs w:val="28"/>
              </w:rPr>
            </w:pPr>
            <w:r w:rsidRPr="000E021B"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</w:p>
          <w:p w:rsidR="003255E2" w:rsidRPr="000E021B" w:rsidRDefault="000E021B" w:rsidP="00325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E132F" w:rsidRPr="000E021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3255E2">
              <w:rPr>
                <w:sz w:val="28"/>
                <w:szCs w:val="28"/>
              </w:rPr>
              <w:t>с</w:t>
            </w:r>
            <w:r w:rsidR="003255E2" w:rsidRPr="000E021B">
              <w:rPr>
                <w:sz w:val="28"/>
                <w:szCs w:val="28"/>
              </w:rPr>
              <w:t>.</w:t>
            </w:r>
            <w:r w:rsidR="003255E2">
              <w:rPr>
                <w:sz w:val="28"/>
                <w:szCs w:val="28"/>
              </w:rPr>
              <w:t xml:space="preserve"> </w:t>
            </w:r>
            <w:proofErr w:type="spellStart"/>
            <w:r w:rsidR="003255E2" w:rsidRPr="000E021B">
              <w:rPr>
                <w:sz w:val="28"/>
                <w:szCs w:val="28"/>
              </w:rPr>
              <w:t>Ново</w:t>
            </w:r>
            <w:r w:rsidR="003255E2">
              <w:rPr>
                <w:sz w:val="28"/>
                <w:szCs w:val="28"/>
              </w:rPr>
              <w:t>сокулак</w:t>
            </w:r>
            <w:proofErr w:type="spellEnd"/>
          </w:p>
          <w:p w:rsidR="00BE132F" w:rsidRPr="000E021B" w:rsidRDefault="003255E2" w:rsidP="000E7D1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r w:rsidR="000E7D11">
              <w:rPr>
                <w:color w:val="000000"/>
                <w:sz w:val="28"/>
                <w:szCs w:val="28"/>
              </w:rPr>
              <w:t>П</w:t>
            </w:r>
            <w:proofErr w:type="gramEnd"/>
            <w:r w:rsidR="000E7D11">
              <w:rPr>
                <w:color w:val="000000"/>
                <w:sz w:val="28"/>
                <w:szCs w:val="28"/>
              </w:rPr>
              <w:t>ономарева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021B">
              <w:rPr>
                <w:color w:val="000000"/>
                <w:sz w:val="28"/>
                <w:szCs w:val="28"/>
              </w:rPr>
              <w:t>, д</w:t>
            </w:r>
            <w:r>
              <w:rPr>
                <w:color w:val="000000"/>
                <w:sz w:val="28"/>
                <w:szCs w:val="28"/>
              </w:rPr>
              <w:t>.</w:t>
            </w:r>
            <w:r w:rsidR="000E7D1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32F" w:rsidRPr="000E021B" w:rsidRDefault="00BE132F" w:rsidP="000E021B">
            <w:pPr>
              <w:rPr>
                <w:sz w:val="28"/>
                <w:szCs w:val="28"/>
              </w:rPr>
            </w:pPr>
          </w:p>
          <w:p w:rsidR="00BE132F" w:rsidRPr="000E021B" w:rsidRDefault="00BE132F" w:rsidP="000E021B">
            <w:pPr>
              <w:rPr>
                <w:sz w:val="28"/>
                <w:szCs w:val="28"/>
              </w:rPr>
            </w:pPr>
          </w:p>
          <w:p w:rsidR="00BE132F" w:rsidRPr="000E021B" w:rsidRDefault="003255E2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баня</w:t>
            </w:r>
          </w:p>
        </w:tc>
      </w:tr>
      <w:tr w:rsidR="0054314E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314E" w:rsidRPr="000E021B" w:rsidRDefault="0054314E" w:rsidP="000E021B">
            <w:pPr>
              <w:rPr>
                <w:sz w:val="28"/>
                <w:szCs w:val="28"/>
              </w:rPr>
            </w:pPr>
            <w:r w:rsidRPr="000E021B">
              <w:rPr>
                <w:sz w:val="28"/>
                <w:szCs w:val="28"/>
              </w:rPr>
              <w:t>3.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314E" w:rsidRPr="000E021B" w:rsidRDefault="003255E2" w:rsidP="000E021B">
            <w:pPr>
              <w:rPr>
                <w:color w:val="000000"/>
                <w:sz w:val="28"/>
                <w:szCs w:val="28"/>
              </w:rPr>
            </w:pPr>
            <w:r w:rsidRPr="000E021B">
              <w:rPr>
                <w:bCs/>
                <w:sz w:val="28"/>
                <w:szCs w:val="28"/>
              </w:rPr>
              <w:t>56:26:1</w:t>
            </w:r>
            <w:r>
              <w:rPr>
                <w:bCs/>
                <w:sz w:val="28"/>
                <w:szCs w:val="28"/>
              </w:rPr>
              <w:t>201</w:t>
            </w:r>
            <w:r w:rsidRPr="000E021B">
              <w:rPr>
                <w:bCs/>
                <w:sz w:val="28"/>
                <w:szCs w:val="28"/>
              </w:rPr>
              <w:t>001</w:t>
            </w:r>
            <w:r>
              <w:rPr>
                <w:bCs/>
                <w:sz w:val="28"/>
                <w:szCs w:val="28"/>
              </w:rPr>
              <w:t>:</w:t>
            </w:r>
            <w:r w:rsidR="000E7D11">
              <w:rPr>
                <w:bCs/>
                <w:sz w:val="28"/>
                <w:szCs w:val="28"/>
              </w:rPr>
              <w:t>665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314E" w:rsidRPr="000E021B" w:rsidRDefault="0054314E" w:rsidP="000E021B">
            <w:pPr>
              <w:rPr>
                <w:sz w:val="28"/>
                <w:szCs w:val="28"/>
              </w:rPr>
            </w:pPr>
            <w:r w:rsidRPr="000E021B"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314E" w:rsidRPr="000E021B" w:rsidRDefault="0054314E" w:rsidP="000E021B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</w:p>
          <w:p w:rsidR="003255E2" w:rsidRDefault="000E021B" w:rsidP="00325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4314E" w:rsidRPr="000E021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3255E2">
              <w:rPr>
                <w:sz w:val="28"/>
                <w:szCs w:val="28"/>
              </w:rPr>
              <w:t>Новосокулак</w:t>
            </w:r>
            <w:proofErr w:type="spellEnd"/>
          </w:p>
          <w:p w:rsidR="0054314E" w:rsidRPr="000E021B" w:rsidRDefault="003255E2" w:rsidP="000E7D1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0E7D11">
              <w:rPr>
                <w:sz w:val="28"/>
                <w:szCs w:val="28"/>
              </w:rPr>
              <w:t>Центральная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.</w:t>
            </w:r>
            <w:r w:rsidR="000E7D11">
              <w:rPr>
                <w:sz w:val="28"/>
                <w:szCs w:val="28"/>
              </w:rPr>
              <w:t>8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314E" w:rsidRPr="000E021B" w:rsidRDefault="000E7D11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</w:tr>
      <w:tr w:rsidR="0054314E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314E" w:rsidRPr="000E021B" w:rsidRDefault="00682364" w:rsidP="000E021B">
            <w:pPr>
              <w:rPr>
                <w:sz w:val="28"/>
                <w:szCs w:val="28"/>
              </w:rPr>
            </w:pPr>
            <w:r w:rsidRPr="000E021B">
              <w:rPr>
                <w:sz w:val="28"/>
                <w:szCs w:val="28"/>
              </w:rPr>
              <w:t>4.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314E" w:rsidRPr="000E021B" w:rsidRDefault="006164DC" w:rsidP="000E021B">
            <w:pPr>
              <w:rPr>
                <w:color w:val="000000"/>
                <w:sz w:val="28"/>
                <w:szCs w:val="28"/>
              </w:rPr>
            </w:pPr>
            <w:r w:rsidRPr="000E021B">
              <w:rPr>
                <w:bCs/>
                <w:sz w:val="28"/>
                <w:szCs w:val="28"/>
              </w:rPr>
              <w:t>56:26:1</w:t>
            </w:r>
            <w:r>
              <w:rPr>
                <w:bCs/>
                <w:sz w:val="28"/>
                <w:szCs w:val="28"/>
              </w:rPr>
              <w:t>201</w:t>
            </w:r>
            <w:r w:rsidRPr="000E021B">
              <w:rPr>
                <w:bCs/>
                <w:sz w:val="28"/>
                <w:szCs w:val="28"/>
              </w:rPr>
              <w:t>001</w:t>
            </w:r>
            <w:r>
              <w:rPr>
                <w:bCs/>
                <w:sz w:val="28"/>
                <w:szCs w:val="28"/>
              </w:rPr>
              <w:t>:</w:t>
            </w:r>
            <w:r w:rsidR="000E7D11">
              <w:rPr>
                <w:bCs/>
                <w:sz w:val="28"/>
                <w:szCs w:val="28"/>
              </w:rPr>
              <w:t>667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314E" w:rsidRPr="000E021B" w:rsidRDefault="0054314E" w:rsidP="000E021B">
            <w:pPr>
              <w:rPr>
                <w:sz w:val="28"/>
                <w:szCs w:val="28"/>
              </w:rPr>
            </w:pPr>
            <w:r w:rsidRPr="000E021B"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314E" w:rsidRPr="000E021B" w:rsidRDefault="0054314E" w:rsidP="000E021B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</w:p>
          <w:p w:rsidR="0054314E" w:rsidRDefault="000E021B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4314E" w:rsidRPr="000E021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6164DC">
              <w:rPr>
                <w:sz w:val="28"/>
                <w:szCs w:val="28"/>
              </w:rPr>
              <w:t>Новосокулак</w:t>
            </w:r>
            <w:proofErr w:type="spellEnd"/>
          </w:p>
          <w:p w:rsidR="0054314E" w:rsidRPr="009441B4" w:rsidRDefault="000E7D11" w:rsidP="000E7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</w:t>
            </w:r>
            <w:r w:rsidR="006164DC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314E" w:rsidRPr="000E021B" w:rsidRDefault="006164DC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баня</w:t>
            </w:r>
          </w:p>
        </w:tc>
      </w:tr>
      <w:tr w:rsidR="009441B4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56:26:1201001:</w:t>
            </w:r>
            <w:r w:rsidR="000E7D11">
              <w:rPr>
                <w:bCs/>
                <w:sz w:val="28"/>
                <w:szCs w:val="28"/>
              </w:rPr>
              <w:t>675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9441B4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</w:p>
          <w:p w:rsidR="009441B4" w:rsidRDefault="009441B4" w:rsidP="00944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E021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Новосокулак</w:t>
            </w:r>
            <w:proofErr w:type="spellEnd"/>
          </w:p>
          <w:p w:rsidR="009441B4" w:rsidRPr="009441B4" w:rsidRDefault="000E7D11" w:rsidP="000E7D11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ентральная</w:t>
            </w:r>
            <w:r w:rsidR="009441B4" w:rsidRPr="009441B4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Default="000E7D11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летняя кухня</w:t>
            </w:r>
          </w:p>
        </w:tc>
      </w:tr>
      <w:tr w:rsidR="009441B4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56:26:1201001:</w:t>
            </w:r>
            <w:r w:rsidR="000E7D11">
              <w:rPr>
                <w:bCs/>
                <w:sz w:val="28"/>
                <w:szCs w:val="28"/>
              </w:rPr>
              <w:t>696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9441B4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</w:p>
          <w:p w:rsidR="009441B4" w:rsidRDefault="009441B4" w:rsidP="009441B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441B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9441B4">
              <w:rPr>
                <w:rFonts w:ascii="Times New Roman" w:hAnsi="Times New Roman"/>
                <w:sz w:val="28"/>
                <w:szCs w:val="28"/>
              </w:rPr>
              <w:t>Новосокулак</w:t>
            </w:r>
            <w:proofErr w:type="spellEnd"/>
          </w:p>
          <w:p w:rsidR="00DD3376" w:rsidRPr="009441B4" w:rsidRDefault="00DD3376" w:rsidP="009441B4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д.</w:t>
            </w:r>
            <w:r w:rsidR="000E7D11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Default="00DD3376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летняя кухня</w:t>
            </w:r>
          </w:p>
        </w:tc>
      </w:tr>
      <w:tr w:rsidR="009441B4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56:26:1201001:</w:t>
            </w:r>
            <w:r w:rsidR="000E7D11">
              <w:rPr>
                <w:bCs/>
                <w:sz w:val="28"/>
                <w:szCs w:val="28"/>
              </w:rPr>
              <w:t>713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DD3376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3376" w:rsidRPr="000E021B" w:rsidRDefault="00DD3376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</w:p>
          <w:p w:rsidR="009441B4" w:rsidRDefault="00DD3376" w:rsidP="00DD3376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E021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Новосокулак</w:t>
            </w:r>
            <w:proofErr w:type="spellEnd"/>
          </w:p>
          <w:p w:rsidR="00DD3376" w:rsidRPr="000E021B" w:rsidRDefault="00DD3376" w:rsidP="000E7D11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.</w:t>
            </w:r>
            <w:r w:rsidR="000E7D11">
              <w:rPr>
                <w:sz w:val="28"/>
                <w:szCs w:val="28"/>
              </w:rPr>
              <w:t>112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Default="00DD3376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баня</w:t>
            </w:r>
          </w:p>
        </w:tc>
      </w:tr>
      <w:tr w:rsidR="009441B4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56:26:1201001:</w:t>
            </w:r>
            <w:r w:rsidR="000E7D11">
              <w:rPr>
                <w:bCs/>
                <w:sz w:val="28"/>
                <w:szCs w:val="28"/>
              </w:rPr>
              <w:t>751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DD3376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3376" w:rsidRPr="000E021B" w:rsidRDefault="00DD3376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</w:p>
          <w:p w:rsidR="009441B4" w:rsidRPr="00DD3376" w:rsidRDefault="00DD3376" w:rsidP="00DD337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D3376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DD3376">
              <w:rPr>
                <w:rFonts w:ascii="Times New Roman" w:hAnsi="Times New Roman"/>
                <w:sz w:val="28"/>
                <w:szCs w:val="28"/>
              </w:rPr>
              <w:t>Новосокулак</w:t>
            </w:r>
            <w:proofErr w:type="spellEnd"/>
          </w:p>
          <w:p w:rsidR="00DD3376" w:rsidRPr="000E021B" w:rsidRDefault="00DD3376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DD3376">
              <w:rPr>
                <w:rFonts w:ascii="Times New Roman" w:hAnsi="Times New Roman"/>
                <w:sz w:val="28"/>
                <w:szCs w:val="28"/>
              </w:rPr>
              <w:t>ул. Центральная, д.</w:t>
            </w:r>
            <w:r w:rsidR="000E7D11">
              <w:rPr>
                <w:rFonts w:ascii="Times New Roman" w:hAnsi="Times New Roman"/>
                <w:sz w:val="28"/>
                <w:szCs w:val="28"/>
              </w:rPr>
              <w:t>11</w:t>
            </w:r>
            <w:r w:rsidRPr="00DD337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Default="000E7D11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баня</w:t>
            </w:r>
          </w:p>
        </w:tc>
      </w:tr>
      <w:tr w:rsidR="009441B4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56:26:1201001:</w:t>
            </w:r>
            <w:r w:rsidR="000E7D11">
              <w:rPr>
                <w:bCs/>
                <w:sz w:val="28"/>
                <w:szCs w:val="28"/>
              </w:rPr>
              <w:t>755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DD3376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3376" w:rsidRPr="000E021B" w:rsidRDefault="00DD3376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</w:p>
          <w:p w:rsidR="009441B4" w:rsidRPr="00DD3376" w:rsidRDefault="00DD3376" w:rsidP="00DD337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D3376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DD3376">
              <w:rPr>
                <w:rFonts w:ascii="Times New Roman" w:hAnsi="Times New Roman"/>
                <w:sz w:val="28"/>
                <w:szCs w:val="28"/>
              </w:rPr>
              <w:t>Новосокулак</w:t>
            </w:r>
            <w:proofErr w:type="spellEnd"/>
          </w:p>
          <w:p w:rsidR="00DD3376" w:rsidRPr="000E021B" w:rsidRDefault="00DD3376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DD3376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proofErr w:type="gramStart"/>
            <w:r w:rsidRPr="00DD3376">
              <w:rPr>
                <w:rFonts w:ascii="Times New Roman" w:hAnsi="Times New Roman"/>
                <w:sz w:val="28"/>
                <w:szCs w:val="28"/>
              </w:rPr>
              <w:t>,д</w:t>
            </w:r>
            <w:proofErr w:type="gramEnd"/>
            <w:r w:rsidRPr="00DD3376">
              <w:rPr>
                <w:rFonts w:ascii="Times New Roman" w:hAnsi="Times New Roman"/>
                <w:sz w:val="28"/>
                <w:szCs w:val="28"/>
              </w:rPr>
              <w:t>.</w:t>
            </w:r>
            <w:r w:rsidR="000E7D11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Default="00DD3376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</w:tr>
      <w:tr w:rsidR="009441B4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56:26:1201001:</w:t>
            </w:r>
            <w:r w:rsidR="000E7D11">
              <w:rPr>
                <w:bCs/>
                <w:sz w:val="28"/>
                <w:szCs w:val="28"/>
              </w:rPr>
              <w:t>759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DD3376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3376" w:rsidRPr="000E021B" w:rsidRDefault="00DD3376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</w:p>
          <w:p w:rsidR="009441B4" w:rsidRPr="00DD3376" w:rsidRDefault="00DD3376" w:rsidP="00DD337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D3376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DD3376">
              <w:rPr>
                <w:rFonts w:ascii="Times New Roman" w:hAnsi="Times New Roman"/>
                <w:sz w:val="28"/>
                <w:szCs w:val="28"/>
              </w:rPr>
              <w:t>Новосокулак</w:t>
            </w:r>
            <w:proofErr w:type="spellEnd"/>
          </w:p>
          <w:p w:rsidR="00DD3376" w:rsidRPr="000E021B" w:rsidRDefault="00DD3376" w:rsidP="000E7D11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DD3376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DD3376">
              <w:rPr>
                <w:rFonts w:ascii="Times New Roman" w:hAnsi="Times New Roman"/>
                <w:sz w:val="28"/>
                <w:szCs w:val="28"/>
              </w:rPr>
              <w:t>.</w:t>
            </w:r>
            <w:r w:rsidR="00DD33E7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="00DD33E7">
              <w:rPr>
                <w:rFonts w:ascii="Times New Roman" w:hAnsi="Times New Roman"/>
                <w:sz w:val="28"/>
                <w:szCs w:val="28"/>
              </w:rPr>
              <w:t>евченко,д.</w:t>
            </w:r>
            <w:r w:rsidRPr="00DD3376">
              <w:rPr>
                <w:rFonts w:ascii="Times New Roman" w:hAnsi="Times New Roman"/>
                <w:sz w:val="28"/>
                <w:szCs w:val="28"/>
              </w:rPr>
              <w:t>2</w:t>
            </w:r>
            <w:r w:rsidR="00DD33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Default="000E7D11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</w:tr>
      <w:tr w:rsidR="009441B4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56:26:1201001:</w:t>
            </w:r>
            <w:r w:rsidR="00DD33E7">
              <w:rPr>
                <w:bCs/>
                <w:sz w:val="28"/>
                <w:szCs w:val="28"/>
              </w:rPr>
              <w:t>797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DD3376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3376" w:rsidRPr="000E021B" w:rsidRDefault="00DD3376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</w:p>
          <w:p w:rsidR="009441B4" w:rsidRDefault="00DD3376" w:rsidP="00DD337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D3376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DD3376">
              <w:rPr>
                <w:rFonts w:ascii="Times New Roman" w:hAnsi="Times New Roman"/>
                <w:sz w:val="28"/>
                <w:szCs w:val="28"/>
              </w:rPr>
              <w:t>Новосокулак</w:t>
            </w:r>
            <w:proofErr w:type="spellEnd"/>
          </w:p>
          <w:p w:rsidR="00DD3376" w:rsidRPr="00DD3376" w:rsidRDefault="00DD3376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ентральная, д.</w:t>
            </w:r>
            <w:r w:rsidR="00DD33E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Default="00DD33E7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</w:tr>
      <w:tr w:rsidR="009441B4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56:26:1201001:</w:t>
            </w:r>
            <w:r w:rsidR="00DD33E7">
              <w:rPr>
                <w:bCs/>
                <w:sz w:val="28"/>
                <w:szCs w:val="28"/>
              </w:rPr>
              <w:t>837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DD3376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3376" w:rsidRPr="000E021B" w:rsidRDefault="00DD3376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</w:p>
          <w:p w:rsidR="009441B4" w:rsidRDefault="00DD3376" w:rsidP="00DD337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90C87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90C87">
              <w:rPr>
                <w:rFonts w:ascii="Times New Roman" w:hAnsi="Times New Roman"/>
                <w:sz w:val="28"/>
                <w:szCs w:val="28"/>
              </w:rPr>
              <w:t>Новосокулак</w:t>
            </w:r>
            <w:proofErr w:type="spellEnd"/>
          </w:p>
          <w:p w:rsidR="00F90C87" w:rsidRPr="00F90C87" w:rsidRDefault="00F90C87" w:rsidP="00DD33E7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D33E7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="00DD33E7">
              <w:rPr>
                <w:rFonts w:ascii="Times New Roman" w:hAnsi="Times New Roman"/>
                <w:sz w:val="28"/>
                <w:szCs w:val="28"/>
              </w:rPr>
              <w:t>евченко</w:t>
            </w:r>
            <w:r>
              <w:rPr>
                <w:rFonts w:ascii="Times New Roman" w:hAnsi="Times New Roman"/>
                <w:sz w:val="28"/>
                <w:szCs w:val="28"/>
              </w:rPr>
              <w:t>, д.2</w:t>
            </w:r>
            <w:r w:rsidR="00DD33E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Default="00DD33E7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</w:tr>
      <w:tr w:rsidR="009441B4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56:26:1201001:</w:t>
            </w:r>
            <w:r w:rsidR="00DD33E7">
              <w:rPr>
                <w:bCs/>
                <w:sz w:val="28"/>
                <w:szCs w:val="28"/>
              </w:rPr>
              <w:t>853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DD3376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3376" w:rsidRPr="000E021B" w:rsidRDefault="00DD3376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</w:p>
          <w:p w:rsidR="009441B4" w:rsidRPr="00F90C87" w:rsidRDefault="00DD3376" w:rsidP="00DD337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90C87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90C87">
              <w:rPr>
                <w:rFonts w:ascii="Times New Roman" w:hAnsi="Times New Roman"/>
                <w:sz w:val="28"/>
                <w:szCs w:val="28"/>
              </w:rPr>
              <w:t>Новосокулак</w:t>
            </w:r>
            <w:proofErr w:type="spellEnd"/>
          </w:p>
          <w:p w:rsidR="00F90C87" w:rsidRPr="000E021B" w:rsidRDefault="00DD33E7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ентральная, д.107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Default="00DD33E7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</w:t>
            </w:r>
          </w:p>
        </w:tc>
      </w:tr>
      <w:tr w:rsidR="009441B4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9441B4" w:rsidP="000E02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56:26:1201001:</w:t>
            </w:r>
            <w:r w:rsidR="00DD33E7">
              <w:rPr>
                <w:bCs/>
                <w:sz w:val="28"/>
                <w:szCs w:val="28"/>
              </w:rPr>
              <w:t>867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Pr="000E021B" w:rsidRDefault="00DD3376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D3376" w:rsidRPr="000E021B" w:rsidRDefault="00DD3376" w:rsidP="00DD3376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</w:p>
          <w:p w:rsidR="009441B4" w:rsidRDefault="00DD3376" w:rsidP="00DD337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90C87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="00F90C87">
              <w:rPr>
                <w:rFonts w:ascii="Times New Roman" w:hAnsi="Times New Roman"/>
                <w:sz w:val="28"/>
                <w:szCs w:val="28"/>
              </w:rPr>
              <w:t>Новосокулак</w:t>
            </w:r>
            <w:proofErr w:type="spellEnd"/>
            <w:r w:rsidR="00F90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90C87" w:rsidRPr="00F90C87" w:rsidRDefault="00F90C87" w:rsidP="00DD33E7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DD33E7">
              <w:rPr>
                <w:rFonts w:ascii="Times New Roman" w:hAnsi="Times New Roman"/>
                <w:sz w:val="28"/>
                <w:szCs w:val="28"/>
              </w:rPr>
              <w:t>Пономарева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="00DD33E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441B4" w:rsidRDefault="00F90C87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</w:tr>
      <w:tr w:rsidR="00F90C87" w:rsidRPr="006F20DC" w:rsidTr="000E021B">
        <w:trPr>
          <w:trHeight w:val="12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90C87" w:rsidRDefault="00F90C87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90C87" w:rsidRDefault="00F90C87" w:rsidP="00DD33E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56:26:120</w:t>
            </w:r>
            <w:r w:rsidR="00DD33E7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001:5</w:t>
            </w:r>
            <w:r w:rsidR="00DD33E7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90C87" w:rsidRDefault="00F90C87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90C87" w:rsidRPr="000E021B" w:rsidRDefault="00F90C87" w:rsidP="00F90C87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>Саракташский</w:t>
            </w:r>
            <w:proofErr w:type="spellEnd"/>
            <w:r w:rsidRPr="000E021B">
              <w:rPr>
                <w:rFonts w:ascii="Times New Roman" w:hAnsi="Times New Roman"/>
                <w:bCs/>
                <w:sz w:val="28"/>
                <w:szCs w:val="28"/>
              </w:rPr>
              <w:t xml:space="preserve"> район, </w:t>
            </w:r>
          </w:p>
          <w:p w:rsidR="00F90C87" w:rsidRDefault="00F90C87" w:rsidP="00F90C8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90C87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="00DD33E7">
              <w:rPr>
                <w:rFonts w:ascii="Times New Roman" w:hAnsi="Times New Roman"/>
                <w:sz w:val="28"/>
                <w:szCs w:val="28"/>
              </w:rPr>
              <w:t>Ислаевка</w:t>
            </w:r>
            <w:proofErr w:type="spellEnd"/>
          </w:p>
          <w:p w:rsidR="00F90C87" w:rsidRPr="000E021B" w:rsidRDefault="00F90C87" w:rsidP="00DD33E7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DD33E7">
              <w:rPr>
                <w:rFonts w:ascii="Times New Roman" w:hAnsi="Times New Roman"/>
                <w:sz w:val="28"/>
                <w:szCs w:val="28"/>
              </w:rPr>
              <w:t>Луговая</w:t>
            </w:r>
            <w:r>
              <w:rPr>
                <w:rFonts w:ascii="Times New Roman" w:hAnsi="Times New Roman"/>
                <w:sz w:val="28"/>
                <w:szCs w:val="28"/>
              </w:rPr>
              <w:t>, д.1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90C87" w:rsidRDefault="00DD33E7" w:rsidP="000E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</w:tr>
    </w:tbl>
    <w:p w:rsidR="00BE132F" w:rsidRDefault="00BE132F"/>
    <w:sectPr w:rsidR="00BE1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E132F"/>
    <w:rsid w:val="00050E5C"/>
    <w:rsid w:val="000E021B"/>
    <w:rsid w:val="000E7D11"/>
    <w:rsid w:val="0029794F"/>
    <w:rsid w:val="003255E2"/>
    <w:rsid w:val="0054314E"/>
    <w:rsid w:val="006164DC"/>
    <w:rsid w:val="00682364"/>
    <w:rsid w:val="006F20DC"/>
    <w:rsid w:val="009441B4"/>
    <w:rsid w:val="00BE132F"/>
    <w:rsid w:val="00DD3376"/>
    <w:rsid w:val="00DD33E7"/>
    <w:rsid w:val="00EA5489"/>
    <w:rsid w:val="00F9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32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rsid w:val="00BE132F"/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rsid w:val="00BE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7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УВЕДОМЛЕНИЕ О ПРОВЕДЕНИИ ОСМОТРА (ОСМОТРОВ) ОБЪЕКТА (ОБЪЕКТОВ) НЕДВИЖИМОСТИ</vt:lpstr>
    </vt:vector>
  </TitlesOfParts>
  <Company>diakov.net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2023-08-04T11:10:00Z</dcterms:created>
  <dcterms:modified xsi:type="dcterms:W3CDTF">2023-08-04T11:10:00Z</dcterms:modified>
</cp:coreProperties>
</file>